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A9" w:rsidRDefault="00B937A9" w:rsidP="00B937A9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4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A9" w:rsidRDefault="00B937A9" w:rsidP="00B937A9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937A9" w:rsidRDefault="00B937A9" w:rsidP="00B937A9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B937A9" w:rsidRDefault="00B937A9" w:rsidP="00B937A9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B937A9" w:rsidRDefault="00B937A9" w:rsidP="00B937A9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3857D6" w:rsidRDefault="003857D6" w:rsidP="00B937A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3857D6" w:rsidRDefault="003857D6" w:rsidP="00B937A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3857D6" w:rsidRDefault="003857D6" w:rsidP="00B937A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B937A9" w:rsidRPr="00A919E1" w:rsidRDefault="00B937A9" w:rsidP="00B937A9">
      <w:pPr>
        <w:jc w:val="center"/>
        <w:rPr>
          <w:rFonts w:ascii="Times New Roman" w:hAnsi="Times New Roman" w:cs="Times New Roman"/>
          <w:bCs/>
          <w:sz w:val="28"/>
        </w:rPr>
      </w:pPr>
      <w:r w:rsidRPr="00A919E1">
        <w:rPr>
          <w:rFonts w:ascii="Times New Roman" w:hAnsi="Times New Roman" w:cs="Times New Roman"/>
          <w:bCs/>
          <w:sz w:val="28"/>
        </w:rPr>
        <w:t>х.Восточный Сосык</w:t>
      </w:r>
    </w:p>
    <w:p w:rsidR="00B937A9" w:rsidRPr="00A919E1" w:rsidRDefault="00B937A9" w:rsidP="00B937A9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B937A9" w:rsidRPr="00A919E1" w:rsidRDefault="003857D6" w:rsidP="00B93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66F68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апреля 202</w:t>
      </w:r>
      <w:r w:rsidR="00F66F6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  <w:r w:rsidR="00B937A9" w:rsidRPr="00A919E1">
        <w:rPr>
          <w:rFonts w:ascii="Times New Roman" w:hAnsi="Times New Roman" w:cs="Times New Roman"/>
          <w:sz w:val="28"/>
        </w:rPr>
        <w:t xml:space="preserve">                           </w:t>
      </w:r>
      <w:r w:rsidR="00162B5C">
        <w:rPr>
          <w:rFonts w:ascii="Times New Roman" w:hAnsi="Times New Roman" w:cs="Times New Roman"/>
          <w:sz w:val="28"/>
        </w:rPr>
        <w:t xml:space="preserve">                                      </w:t>
      </w:r>
      <w:r w:rsidR="00F66F68">
        <w:rPr>
          <w:rFonts w:ascii="Times New Roman" w:hAnsi="Times New Roman" w:cs="Times New Roman"/>
          <w:sz w:val="28"/>
        </w:rPr>
        <w:t xml:space="preserve">     </w:t>
      </w:r>
      <w:r w:rsidR="00162B5C">
        <w:rPr>
          <w:rFonts w:ascii="Times New Roman" w:hAnsi="Times New Roman" w:cs="Times New Roman"/>
          <w:sz w:val="28"/>
        </w:rPr>
        <w:t xml:space="preserve"> </w:t>
      </w:r>
      <w:r w:rsidR="00B937A9" w:rsidRPr="00A919E1">
        <w:rPr>
          <w:rFonts w:ascii="Times New Roman" w:hAnsi="Times New Roman" w:cs="Times New Roman"/>
          <w:sz w:val="28"/>
        </w:rPr>
        <w:t xml:space="preserve">  </w:t>
      </w:r>
      <w:r w:rsidR="006E19DB">
        <w:rPr>
          <w:rFonts w:ascii="Times New Roman" w:hAnsi="Times New Roman" w:cs="Times New Roman"/>
          <w:sz w:val="28"/>
        </w:rPr>
        <w:t>№</w:t>
      </w:r>
      <w:r w:rsidR="00F66F68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/3</w:t>
      </w:r>
    </w:p>
    <w:p w:rsidR="00F66E05" w:rsidRDefault="00F66E05" w:rsidP="00F5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5" w:rsidRDefault="00F66E05" w:rsidP="00F5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5E" w:rsidRPr="00F5165E" w:rsidRDefault="00F5165E" w:rsidP="00F5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5E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отчета об исполнении индикативного плана социально-экономического развития </w:t>
      </w:r>
      <w:r w:rsidR="00F66E05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B21167">
        <w:rPr>
          <w:rFonts w:ascii="Times New Roman" w:hAnsi="Times New Roman" w:cs="Times New Roman"/>
          <w:b/>
          <w:sz w:val="28"/>
          <w:szCs w:val="28"/>
        </w:rPr>
        <w:t>ния Староминского района за 20</w:t>
      </w:r>
      <w:r w:rsidR="00F66F68">
        <w:rPr>
          <w:rFonts w:ascii="Times New Roman" w:hAnsi="Times New Roman" w:cs="Times New Roman"/>
          <w:b/>
          <w:sz w:val="28"/>
          <w:szCs w:val="28"/>
        </w:rPr>
        <w:t>20</w:t>
      </w:r>
      <w:r w:rsidRPr="00F5165E">
        <w:rPr>
          <w:rFonts w:ascii="Times New Roman" w:hAnsi="Times New Roman" w:cs="Times New Roman"/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отчета об исполнении индикативного плана социально-экономического развития </w:t>
      </w:r>
      <w:r w:rsidR="00F66E05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B21167">
        <w:rPr>
          <w:rFonts w:ascii="Times New Roman" w:hAnsi="Times New Roman" w:cs="Times New Roman"/>
          <w:b/>
          <w:sz w:val="28"/>
          <w:szCs w:val="28"/>
        </w:rPr>
        <w:t>ния Староминского района за 20</w:t>
      </w:r>
      <w:r w:rsidR="00F66F68">
        <w:rPr>
          <w:rFonts w:ascii="Times New Roman" w:hAnsi="Times New Roman" w:cs="Times New Roman"/>
          <w:b/>
          <w:sz w:val="28"/>
          <w:szCs w:val="28"/>
        </w:rPr>
        <w:t>20</w:t>
      </w:r>
      <w:r w:rsidRPr="00F516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165E" w:rsidRDefault="00F5165E" w:rsidP="00F5165E">
      <w:pPr>
        <w:spacing w:after="0" w:line="240" w:lineRule="auto"/>
        <w:jc w:val="both"/>
        <w:rPr>
          <w:sz w:val="28"/>
          <w:szCs w:val="28"/>
        </w:rPr>
      </w:pPr>
    </w:p>
    <w:p w:rsidR="00F66E05" w:rsidRDefault="00F66E05" w:rsidP="00F5165E">
      <w:pPr>
        <w:spacing w:after="0" w:line="240" w:lineRule="auto"/>
        <w:jc w:val="both"/>
        <w:rPr>
          <w:sz w:val="28"/>
          <w:szCs w:val="28"/>
        </w:rPr>
      </w:pPr>
    </w:p>
    <w:p w:rsidR="00F66E05" w:rsidRDefault="00F66E05" w:rsidP="00F5165E">
      <w:pPr>
        <w:spacing w:after="0" w:line="240" w:lineRule="auto"/>
        <w:jc w:val="both"/>
        <w:rPr>
          <w:sz w:val="28"/>
          <w:szCs w:val="28"/>
        </w:rPr>
      </w:pPr>
    </w:p>
    <w:p w:rsidR="00F5165E" w:rsidRPr="00F5165E" w:rsidRDefault="00F66F68" w:rsidP="00F516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165E" w:rsidRPr="00F5165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28, пунктом 6 статьи 84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 26 Устава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="00F5165E" w:rsidRPr="00F5165E">
        <w:rPr>
          <w:rFonts w:ascii="Times New Roman" w:hAnsi="Times New Roman" w:cs="Times New Roman"/>
          <w:sz w:val="28"/>
          <w:szCs w:val="28"/>
        </w:rPr>
        <w:t xml:space="preserve"> сельского  поселения Староминского района, Совет 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="00F5165E" w:rsidRPr="00F5165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 </w:t>
      </w:r>
      <w:r w:rsidR="00F66E05">
        <w:rPr>
          <w:rFonts w:ascii="Times New Roman" w:hAnsi="Times New Roman" w:cs="Times New Roman"/>
          <w:sz w:val="28"/>
          <w:szCs w:val="28"/>
        </w:rPr>
        <w:t>РЕШИЛ</w:t>
      </w:r>
      <w:r w:rsidR="00F5165E" w:rsidRPr="00F5165E">
        <w:rPr>
          <w:rFonts w:ascii="Times New Roman" w:hAnsi="Times New Roman" w:cs="Times New Roman"/>
          <w:sz w:val="28"/>
          <w:szCs w:val="28"/>
        </w:rPr>
        <w:t>:</w:t>
      </w:r>
    </w:p>
    <w:p w:rsidR="00F5165E" w:rsidRPr="00F5165E" w:rsidRDefault="00F5165E" w:rsidP="00F516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 xml:space="preserve">           1. Обнародовать проект отчета об исполнении индикативного плана социально-экономического развития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B21167">
        <w:rPr>
          <w:rFonts w:ascii="Times New Roman" w:hAnsi="Times New Roman" w:cs="Times New Roman"/>
          <w:sz w:val="28"/>
          <w:szCs w:val="28"/>
        </w:rPr>
        <w:t>ния Староминского района за 20</w:t>
      </w:r>
      <w:r w:rsidR="00F66F68">
        <w:rPr>
          <w:rFonts w:ascii="Times New Roman" w:hAnsi="Times New Roman" w:cs="Times New Roman"/>
          <w:sz w:val="28"/>
          <w:szCs w:val="28"/>
        </w:rPr>
        <w:t>20</w:t>
      </w:r>
      <w:r w:rsidRPr="00F5165E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F5165E" w:rsidRPr="00F5165E" w:rsidRDefault="00F5165E" w:rsidP="00F516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 xml:space="preserve">           2. Назначить проведение публичных слушаний по теме «Рассмотрение проекта отчета об исполнении индикативного плана социально-экономического развития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B21167">
        <w:rPr>
          <w:rFonts w:ascii="Times New Roman" w:hAnsi="Times New Roman" w:cs="Times New Roman"/>
          <w:sz w:val="28"/>
          <w:szCs w:val="28"/>
        </w:rPr>
        <w:t>ния Староминского района за 20</w:t>
      </w:r>
      <w:r w:rsidR="00F66F68">
        <w:rPr>
          <w:rFonts w:ascii="Times New Roman" w:hAnsi="Times New Roman" w:cs="Times New Roman"/>
          <w:sz w:val="28"/>
          <w:szCs w:val="28"/>
        </w:rPr>
        <w:t>20</w:t>
      </w:r>
      <w:r w:rsidRPr="00F5165E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9075E9">
        <w:rPr>
          <w:rFonts w:ascii="Times New Roman" w:hAnsi="Times New Roman" w:cs="Times New Roman"/>
          <w:sz w:val="28"/>
          <w:szCs w:val="28"/>
        </w:rPr>
        <w:t>2</w:t>
      </w:r>
      <w:r w:rsidR="00875036">
        <w:rPr>
          <w:rFonts w:ascii="Times New Roman" w:hAnsi="Times New Roman" w:cs="Times New Roman"/>
          <w:sz w:val="28"/>
          <w:szCs w:val="28"/>
        </w:rPr>
        <w:t>0</w:t>
      </w:r>
      <w:r w:rsidR="006E19D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66F68">
        <w:rPr>
          <w:rFonts w:ascii="Times New Roman" w:hAnsi="Times New Roman" w:cs="Times New Roman"/>
          <w:sz w:val="28"/>
          <w:szCs w:val="28"/>
        </w:rPr>
        <w:t>1</w:t>
      </w:r>
      <w:r w:rsidRPr="00F5165E">
        <w:rPr>
          <w:rFonts w:ascii="Times New Roman" w:hAnsi="Times New Roman" w:cs="Times New Roman"/>
          <w:sz w:val="28"/>
          <w:szCs w:val="28"/>
        </w:rPr>
        <w:t xml:space="preserve"> года – в Администрации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1</w:t>
      </w:r>
      <w:r w:rsidR="00F66F68">
        <w:rPr>
          <w:rFonts w:ascii="Times New Roman" w:hAnsi="Times New Roman" w:cs="Times New Roman"/>
          <w:sz w:val="28"/>
          <w:szCs w:val="28"/>
        </w:rPr>
        <w:t>0</w:t>
      </w:r>
      <w:r w:rsidRPr="00F5165E">
        <w:rPr>
          <w:rFonts w:ascii="Times New Roman" w:hAnsi="Times New Roman" w:cs="Times New Roman"/>
          <w:sz w:val="28"/>
          <w:szCs w:val="28"/>
        </w:rPr>
        <w:t>.00 часов.</w:t>
      </w:r>
    </w:p>
    <w:p w:rsidR="00F5165E" w:rsidRPr="00F5165E" w:rsidRDefault="00F5165E" w:rsidP="00F516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 xml:space="preserve">           3. Создать оргкомитет по проведению публичных слушаний по теме «Рассмотрение проекта отчета об исполнении индикативного плана </w:t>
      </w:r>
      <w:r w:rsidRPr="00F5165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B21167">
        <w:rPr>
          <w:rFonts w:ascii="Times New Roman" w:hAnsi="Times New Roman" w:cs="Times New Roman"/>
          <w:sz w:val="28"/>
          <w:szCs w:val="28"/>
        </w:rPr>
        <w:t>ния Староминского района за 20</w:t>
      </w:r>
      <w:r w:rsidR="00F66F68">
        <w:rPr>
          <w:rFonts w:ascii="Times New Roman" w:hAnsi="Times New Roman" w:cs="Times New Roman"/>
          <w:sz w:val="28"/>
          <w:szCs w:val="28"/>
        </w:rPr>
        <w:t xml:space="preserve">20 </w:t>
      </w:r>
      <w:r w:rsidRPr="00F5165E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:rsidR="00F5165E" w:rsidRPr="00F5165E" w:rsidRDefault="00F5165E" w:rsidP="00F516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ab/>
        <w:t xml:space="preserve">4. Утвердить порядок учета предложений и участия граждан в обсуждении проекта отчета об исполнении индикативного плана социально-экономического развития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за 20</w:t>
      </w:r>
      <w:r w:rsidR="00F66F68">
        <w:rPr>
          <w:rFonts w:ascii="Times New Roman" w:hAnsi="Times New Roman" w:cs="Times New Roman"/>
          <w:sz w:val="28"/>
          <w:szCs w:val="28"/>
        </w:rPr>
        <w:t>20</w:t>
      </w:r>
      <w:r w:rsidRPr="00F5165E">
        <w:rPr>
          <w:rFonts w:ascii="Times New Roman" w:hAnsi="Times New Roman" w:cs="Times New Roman"/>
          <w:sz w:val="28"/>
          <w:szCs w:val="28"/>
        </w:rPr>
        <w:t xml:space="preserve"> год (приложение № 3).</w:t>
      </w:r>
    </w:p>
    <w:p w:rsidR="00F5165E" w:rsidRPr="00F5165E" w:rsidRDefault="00F5165E" w:rsidP="003857D6">
      <w:pPr>
        <w:tabs>
          <w:tab w:val="left" w:pos="85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ab/>
        <w:t xml:space="preserve">5. Контроль за выполнением настоящего решения возложить на председателя комиссии по финансово-бюджетной и экономической политике Совета </w:t>
      </w:r>
      <w:r w:rsidR="00B86B74">
        <w:rPr>
          <w:rFonts w:ascii="Times New Roman" w:hAnsi="Times New Roman" w:cs="Times New Roman"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sz w:val="28"/>
          <w:szCs w:val="28"/>
        </w:rPr>
        <w:t xml:space="preserve"> сельского поселенияСтароминского района </w:t>
      </w:r>
      <w:r w:rsidR="00C267A8">
        <w:rPr>
          <w:rFonts w:ascii="Times New Roman" w:hAnsi="Times New Roman" w:cs="Times New Roman"/>
          <w:sz w:val="28"/>
          <w:szCs w:val="28"/>
        </w:rPr>
        <w:t>По</w:t>
      </w:r>
      <w:r w:rsidR="00B21167">
        <w:rPr>
          <w:rFonts w:ascii="Times New Roman" w:hAnsi="Times New Roman" w:cs="Times New Roman"/>
          <w:sz w:val="28"/>
          <w:szCs w:val="28"/>
        </w:rPr>
        <w:t>севин И.К.</w:t>
      </w:r>
    </w:p>
    <w:p w:rsidR="00F5165E" w:rsidRPr="00F5165E" w:rsidRDefault="00F5165E" w:rsidP="006E19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ab/>
        <w:t>6. Настоящее решение вступает в силу со дня его обнародования.</w:t>
      </w:r>
    </w:p>
    <w:p w:rsidR="00F5165E" w:rsidRDefault="00F5165E" w:rsidP="00F5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5C" w:rsidRDefault="00162B5C" w:rsidP="00F5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5C" w:rsidRDefault="00162B5C" w:rsidP="00F5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5C" w:rsidRDefault="00162B5C" w:rsidP="00F5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5E" w:rsidRPr="00F5165E" w:rsidRDefault="00F5165E" w:rsidP="00F5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5E" w:rsidRPr="00F5165E" w:rsidRDefault="00F5165E" w:rsidP="00F5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6E05">
        <w:rPr>
          <w:rFonts w:ascii="Times New Roman" w:hAnsi="Times New Roman" w:cs="Times New Roman"/>
          <w:sz w:val="28"/>
          <w:szCs w:val="28"/>
        </w:rPr>
        <w:t>Куйбышевского</w:t>
      </w:r>
      <w:r w:rsidRPr="00F5165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5165E" w:rsidRPr="00F5165E" w:rsidRDefault="00F5165E" w:rsidP="00F5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8"/>
          <w:szCs w:val="28"/>
        </w:rPr>
        <w:t xml:space="preserve">Староминского района           </w:t>
      </w:r>
      <w:r w:rsidRPr="00F5165E">
        <w:rPr>
          <w:rFonts w:ascii="Times New Roman" w:hAnsi="Times New Roman" w:cs="Times New Roman"/>
          <w:sz w:val="28"/>
          <w:szCs w:val="28"/>
        </w:rPr>
        <w:tab/>
      </w:r>
      <w:r w:rsidRPr="00F5165E">
        <w:rPr>
          <w:rFonts w:ascii="Times New Roman" w:hAnsi="Times New Roman" w:cs="Times New Roman"/>
          <w:sz w:val="28"/>
          <w:szCs w:val="28"/>
        </w:rPr>
        <w:tab/>
      </w:r>
      <w:r w:rsidRPr="00F5165E">
        <w:rPr>
          <w:rFonts w:ascii="Times New Roman" w:hAnsi="Times New Roman" w:cs="Times New Roman"/>
          <w:sz w:val="28"/>
          <w:szCs w:val="28"/>
        </w:rPr>
        <w:tab/>
      </w:r>
      <w:r w:rsidR="00162B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21167">
        <w:rPr>
          <w:rFonts w:ascii="Times New Roman" w:hAnsi="Times New Roman" w:cs="Times New Roman"/>
          <w:sz w:val="28"/>
          <w:szCs w:val="28"/>
        </w:rPr>
        <w:t>С.В.Демчук</w:t>
      </w:r>
    </w:p>
    <w:p w:rsidR="00F66E05" w:rsidRDefault="00F6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6E05" w:rsidRDefault="00F66E05" w:rsidP="00F66E05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412CE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66E05" w:rsidRDefault="00F66E05" w:rsidP="00F66E05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412CEF">
        <w:rPr>
          <w:rFonts w:ascii="Times New Roman" w:hAnsi="Times New Roman"/>
          <w:sz w:val="28"/>
          <w:szCs w:val="28"/>
        </w:rPr>
        <w:t xml:space="preserve">к решению Совета  </w:t>
      </w:r>
      <w:r>
        <w:rPr>
          <w:rFonts w:ascii="Times New Roman" w:hAnsi="Times New Roman"/>
          <w:sz w:val="28"/>
          <w:szCs w:val="28"/>
        </w:rPr>
        <w:t>Куйбышевского</w:t>
      </w:r>
    </w:p>
    <w:p w:rsidR="00F66E05" w:rsidRPr="00A919E1" w:rsidRDefault="00F66E05" w:rsidP="00F66E05">
      <w:pPr>
        <w:spacing w:after="0" w:line="240" w:lineRule="auto"/>
        <w:ind w:left="3686"/>
        <w:jc w:val="center"/>
      </w:pPr>
      <w:r w:rsidRPr="00412CEF">
        <w:rPr>
          <w:rFonts w:ascii="Times New Roman" w:hAnsi="Times New Roman"/>
          <w:sz w:val="28"/>
          <w:szCs w:val="28"/>
        </w:rPr>
        <w:t>сельского поселения Староминского района</w:t>
      </w:r>
    </w:p>
    <w:p w:rsidR="00F66E05" w:rsidRDefault="00F66E05" w:rsidP="00F66E05">
      <w:pPr>
        <w:pStyle w:val="a7"/>
        <w:tabs>
          <w:tab w:val="center" w:pos="7371"/>
        </w:tabs>
        <w:ind w:left="368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F66F68">
        <w:rPr>
          <w:rFonts w:ascii="Times New Roman" w:hAnsi="Times New Roman"/>
          <w:sz w:val="28"/>
          <w:u w:val="single"/>
        </w:rPr>
        <w:t>29</w:t>
      </w:r>
      <w:r w:rsidR="006E19DB">
        <w:rPr>
          <w:rFonts w:ascii="Times New Roman" w:hAnsi="Times New Roman"/>
          <w:sz w:val="28"/>
          <w:u w:val="single"/>
        </w:rPr>
        <w:t xml:space="preserve"> апреля 202</w:t>
      </w:r>
      <w:r w:rsidR="00F66F68">
        <w:rPr>
          <w:rFonts w:ascii="Times New Roman" w:hAnsi="Times New Roman"/>
          <w:sz w:val="28"/>
          <w:u w:val="single"/>
        </w:rPr>
        <w:t>1</w:t>
      </w:r>
      <w:r w:rsidRPr="00A919E1">
        <w:rPr>
          <w:rFonts w:ascii="Times New Roman" w:hAnsi="Times New Roman"/>
          <w:sz w:val="28"/>
          <w:u w:val="single"/>
        </w:rPr>
        <w:t xml:space="preserve"> </w:t>
      </w:r>
      <w:r w:rsidRPr="00F66F68">
        <w:rPr>
          <w:rFonts w:ascii="Times New Roman" w:hAnsi="Times New Roman"/>
          <w:sz w:val="28"/>
          <w:u w:val="single"/>
        </w:rPr>
        <w:t xml:space="preserve">года № </w:t>
      </w:r>
      <w:r w:rsidR="00F66F68" w:rsidRPr="00F66F68">
        <w:rPr>
          <w:rFonts w:ascii="Times New Roman" w:hAnsi="Times New Roman"/>
          <w:sz w:val="28"/>
          <w:u w:val="single"/>
        </w:rPr>
        <w:t>21/3</w:t>
      </w:r>
    </w:p>
    <w:p w:rsidR="00F66E05" w:rsidRDefault="00F66E05" w:rsidP="00F66E05">
      <w:pPr>
        <w:pStyle w:val="a7"/>
        <w:tabs>
          <w:tab w:val="center" w:pos="7371"/>
        </w:tabs>
        <w:ind w:left="3686"/>
        <w:jc w:val="center"/>
        <w:rPr>
          <w:rFonts w:ascii="Times New Roman" w:hAnsi="Times New Roman"/>
          <w:sz w:val="28"/>
          <w:u w:val="single"/>
        </w:rPr>
      </w:pPr>
      <w:bookmarkStart w:id="0" w:name="_GoBack"/>
      <w:bookmarkEnd w:id="0"/>
    </w:p>
    <w:p w:rsidR="00F66E05" w:rsidRDefault="00F66E05" w:rsidP="00F66E05">
      <w:pPr>
        <w:pStyle w:val="a7"/>
        <w:tabs>
          <w:tab w:val="center" w:pos="7371"/>
        </w:tabs>
        <w:ind w:left="3686"/>
        <w:jc w:val="center"/>
        <w:rPr>
          <w:rFonts w:ascii="Times New Roman" w:hAnsi="Times New Roman"/>
          <w:sz w:val="28"/>
          <w:u w:val="single"/>
        </w:rPr>
      </w:pPr>
    </w:p>
    <w:p w:rsidR="00F66E05" w:rsidRDefault="00F66E05" w:rsidP="00F66E05">
      <w:pPr>
        <w:pStyle w:val="a7"/>
        <w:tabs>
          <w:tab w:val="center" w:pos="7371"/>
        </w:tabs>
        <w:jc w:val="center"/>
        <w:rPr>
          <w:rFonts w:ascii="Times New Roman" w:hAnsi="Times New Roman"/>
          <w:b/>
          <w:sz w:val="28"/>
          <w:szCs w:val="28"/>
        </w:rPr>
      </w:pPr>
      <w:r w:rsidRPr="00F66E05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66E05" w:rsidRDefault="00F66E05" w:rsidP="00F66E05">
      <w:pPr>
        <w:pStyle w:val="a7"/>
        <w:tabs>
          <w:tab w:val="center" w:pos="7371"/>
        </w:tabs>
        <w:jc w:val="center"/>
        <w:rPr>
          <w:rFonts w:ascii="Times New Roman" w:hAnsi="Times New Roman"/>
          <w:b/>
          <w:sz w:val="28"/>
          <w:szCs w:val="28"/>
        </w:rPr>
      </w:pPr>
      <w:r w:rsidRPr="00F66E05">
        <w:rPr>
          <w:rFonts w:ascii="Times New Roman" w:hAnsi="Times New Roman"/>
          <w:b/>
          <w:sz w:val="28"/>
          <w:szCs w:val="28"/>
        </w:rPr>
        <w:t xml:space="preserve">о выполнении индикативного плана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 xml:space="preserve">Куйбышевского </w:t>
      </w:r>
      <w:r w:rsidRPr="00F66E05">
        <w:rPr>
          <w:rFonts w:ascii="Times New Roman" w:hAnsi="Times New Roman"/>
          <w:b/>
          <w:sz w:val="28"/>
          <w:szCs w:val="28"/>
        </w:rPr>
        <w:t>сельского поселе</w:t>
      </w:r>
      <w:r w:rsidR="00B21167">
        <w:rPr>
          <w:rFonts w:ascii="Times New Roman" w:hAnsi="Times New Roman"/>
          <w:b/>
          <w:sz w:val="28"/>
          <w:szCs w:val="28"/>
        </w:rPr>
        <w:t>ния Староминского района за 20</w:t>
      </w:r>
      <w:r w:rsidR="00F66F68">
        <w:rPr>
          <w:rFonts w:ascii="Times New Roman" w:hAnsi="Times New Roman"/>
          <w:b/>
          <w:sz w:val="28"/>
          <w:szCs w:val="28"/>
        </w:rPr>
        <w:t>20</w:t>
      </w:r>
      <w:r w:rsidRPr="00F66E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6E05" w:rsidRDefault="00F66E05" w:rsidP="00F66E05">
      <w:pPr>
        <w:pStyle w:val="a7"/>
        <w:tabs>
          <w:tab w:val="center" w:pos="7371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1" w:type="dxa"/>
        <w:tblLook w:val="00A0"/>
      </w:tblPr>
      <w:tblGrid>
        <w:gridCol w:w="5495"/>
        <w:gridCol w:w="1276"/>
        <w:gridCol w:w="1151"/>
        <w:gridCol w:w="1559"/>
      </w:tblGrid>
      <w:tr w:rsidR="00A11222" w:rsidRPr="0053771E" w:rsidTr="00804CC0">
        <w:trPr>
          <w:trHeight w:val="270"/>
        </w:trPr>
        <w:tc>
          <w:tcPr>
            <w:tcW w:w="54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11222" w:rsidRPr="0053771E" w:rsidRDefault="00A11222" w:rsidP="00F66E05">
            <w:pPr>
              <w:jc w:val="center"/>
              <w:rPr>
                <w:rFonts w:ascii="Times New Roman" w:hAnsi="Times New Roman"/>
              </w:rPr>
            </w:pPr>
            <w:r w:rsidRPr="0053771E">
              <w:rPr>
                <w:rFonts w:ascii="Times New Roman" w:hAnsi="Times New Roman"/>
              </w:rPr>
              <w:t>Показатель, единица измерения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1222" w:rsidRPr="0053771E" w:rsidRDefault="00B21167" w:rsidP="00DA5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</w:t>
            </w:r>
            <w:r w:rsidR="00DA5DF7">
              <w:rPr>
                <w:rFonts w:ascii="Times New Roman" w:hAnsi="Times New Roman"/>
              </w:rPr>
              <w:t>20</w:t>
            </w:r>
            <w:r w:rsidR="00A11222" w:rsidRPr="005377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11222" w:rsidRPr="0053771E" w:rsidRDefault="00B21167" w:rsidP="00DA5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DA5DF7">
              <w:rPr>
                <w:rFonts w:ascii="Times New Roman" w:hAnsi="Times New Roman"/>
                <w:sz w:val="18"/>
                <w:szCs w:val="18"/>
              </w:rPr>
              <w:t>20</w:t>
            </w:r>
            <w:r w:rsidR="00A11222" w:rsidRPr="0053771E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DA5DF7">
              <w:rPr>
                <w:rFonts w:ascii="Times New Roman" w:hAnsi="Times New Roman"/>
                <w:sz w:val="18"/>
                <w:szCs w:val="18"/>
              </w:rPr>
              <w:t>факт</w:t>
            </w:r>
            <w:r w:rsidR="00D03977" w:rsidRPr="005377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222" w:rsidRPr="0053771E">
              <w:rPr>
                <w:rFonts w:ascii="Times New Roman" w:hAnsi="Times New Roman"/>
                <w:sz w:val="18"/>
                <w:szCs w:val="18"/>
              </w:rPr>
              <w:t>в % к 20</w:t>
            </w:r>
            <w:r w:rsidR="00DA5DF7">
              <w:rPr>
                <w:rFonts w:ascii="Times New Roman" w:hAnsi="Times New Roman"/>
                <w:sz w:val="18"/>
                <w:szCs w:val="18"/>
              </w:rPr>
              <w:t>20</w:t>
            </w:r>
            <w:r w:rsidR="00A11222" w:rsidRPr="0053771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="00DA5DF7">
              <w:rPr>
                <w:rFonts w:ascii="Times New Roman" w:hAnsi="Times New Roman"/>
                <w:sz w:val="18"/>
                <w:szCs w:val="18"/>
              </w:rPr>
              <w:t>плану</w:t>
            </w:r>
          </w:p>
        </w:tc>
      </w:tr>
      <w:tr w:rsidR="00A11222" w:rsidRPr="0053771E" w:rsidTr="00804CC0">
        <w:trPr>
          <w:trHeight w:val="480"/>
        </w:trPr>
        <w:tc>
          <w:tcPr>
            <w:tcW w:w="54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1222" w:rsidRPr="0053771E" w:rsidRDefault="00A11222" w:rsidP="00F66E0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1222" w:rsidRPr="0053771E" w:rsidRDefault="00A11222" w:rsidP="00DA5DF7">
            <w:pPr>
              <w:jc w:val="center"/>
              <w:rPr>
                <w:rFonts w:ascii="Times New Roman" w:hAnsi="Times New Roman"/>
              </w:rPr>
            </w:pPr>
            <w:r w:rsidRPr="0053771E">
              <w:rPr>
                <w:rFonts w:ascii="Times New Roman" w:hAnsi="Times New Roman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2" w:rsidRPr="0053771E" w:rsidRDefault="00A11222" w:rsidP="00DA5DF7">
            <w:pPr>
              <w:jc w:val="center"/>
              <w:rPr>
                <w:rFonts w:ascii="Times New Roman" w:hAnsi="Times New Roman"/>
              </w:rPr>
            </w:pPr>
            <w:r w:rsidRPr="0053771E"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11222" w:rsidRPr="0053771E" w:rsidRDefault="00A11222" w:rsidP="00DA5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F7" w:rsidRPr="0053771E" w:rsidTr="00804CC0">
        <w:trPr>
          <w:trHeight w:val="555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2,003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2,003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3F5AD1">
              <w:rPr>
                <w:rFonts w:ascii="Times New Roman" w:hAnsi="Times New Roman"/>
              </w:rPr>
              <w:t>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1,177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1,177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Численность занятых в экономике,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1,118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1,1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804CC0">
        <w:trPr>
          <w:trHeight w:val="5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13,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3F5AD1">
              <w:rPr>
                <w:rFonts w:ascii="Times New Roman" w:hAnsi="Times New Roman"/>
              </w:rPr>
              <w:t>,0</w:t>
            </w:r>
          </w:p>
        </w:tc>
      </w:tr>
      <w:tr w:rsidR="00DA5DF7" w:rsidRPr="0053771E" w:rsidTr="00804CC0">
        <w:trPr>
          <w:trHeight w:val="5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Численность занятых в личных подсобных хозяйствах,  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0,598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0,598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5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DA5DF7" w:rsidRDefault="00DA5DF7" w:rsidP="00DA5DF7">
            <w:pPr>
              <w:rPr>
                <w:rFonts w:ascii="Times New Roman" w:hAnsi="Times New Roman"/>
              </w:rPr>
            </w:pPr>
            <w:r w:rsidRPr="00DA5DF7">
              <w:rPr>
                <w:rFonts w:ascii="Times New Roman" w:hAnsi="Times New Roman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12,9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895394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DF7" w:rsidRPr="00DA5DF7" w:rsidRDefault="00DA5DF7" w:rsidP="00DA5DF7">
            <w:pPr>
              <w:rPr>
                <w:rFonts w:ascii="Times New Roman" w:hAnsi="Times New Roman"/>
              </w:rPr>
            </w:pPr>
            <w:r w:rsidRPr="00DA5DF7">
              <w:rPr>
                <w:rFonts w:ascii="Times New Roman" w:hAnsi="Times New Roman"/>
              </w:rPr>
              <w:t>Численность зарегистрированных безработных,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5DF7" w:rsidRPr="00DA5DF7" w:rsidRDefault="00DA5DF7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DF7" w:rsidRPr="00DA5DF7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5DF7" w:rsidRPr="00DA5DF7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5DF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DA5DF7" w:rsidRPr="0053771E" w:rsidTr="00804CC0">
        <w:trPr>
          <w:trHeight w:val="5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Фонд оплаты труда,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24918,0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25100,0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100,7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141816,00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140700,00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99,2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39438,00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39080,00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99,1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102378,00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101620,00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</w:tr>
      <w:tr w:rsidR="00DA5DF7" w:rsidRPr="0053771E" w:rsidTr="00DA5DF7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DA5DF7">
        <w:trPr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Зерно (в весе  после доработки), тыс.тонн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55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</w:t>
            </w:r>
            <w:r w:rsidR="0089539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 w:rsidR="00895394"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 w:rsidR="00895394">
              <w:rPr>
                <w:rFonts w:ascii="Times New Roman" w:hAnsi="Times New Roman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5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 w:rsidR="00895394">
              <w:rPr>
                <w:rFonts w:ascii="Times New Roman" w:hAnsi="Times New Roman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34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 w:rsidR="00895394">
              <w:rPr>
                <w:rFonts w:ascii="Times New Roman" w:hAnsi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5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 w:rsidR="00895394">
              <w:rPr>
                <w:rFonts w:ascii="Times New Roman" w:hAnsi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Плоды и ягоды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</w:t>
            </w:r>
            <w:r w:rsidR="00895394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5394" w:rsidRPr="003F5AD1" w:rsidRDefault="00895394" w:rsidP="00895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</w:t>
            </w:r>
            <w:r w:rsidR="00895394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5394" w:rsidRPr="003F5AD1" w:rsidRDefault="00895394" w:rsidP="00895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Виноград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0,00</w:t>
            </w:r>
            <w:r w:rsidR="0089539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DF7" w:rsidRPr="003F5AD1">
              <w:rPr>
                <w:rFonts w:ascii="Times New Roman" w:hAnsi="Times New Roman"/>
              </w:rPr>
              <w:t>00,0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0,00</w:t>
            </w:r>
            <w:r w:rsidR="0089539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DF7" w:rsidRPr="003F5AD1">
              <w:rPr>
                <w:rFonts w:ascii="Times New Roman" w:hAnsi="Times New Roman"/>
              </w:rPr>
              <w:t>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 xml:space="preserve">Скот и птица (в живом весе) 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5394" w:rsidRPr="003F5AD1" w:rsidRDefault="00895394" w:rsidP="008953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0,</w:t>
            </w:r>
            <w:r w:rsidR="0089539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5394" w:rsidRPr="003F5AD1" w:rsidRDefault="00895394" w:rsidP="008953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0,</w:t>
            </w:r>
            <w:r w:rsidR="0089539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DA5DF7" w:rsidRPr="003F5A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DA5DF7" w:rsidRPr="0053771E" w:rsidTr="00DA5DF7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Молоко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7,4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DA5DF7" w:rsidRPr="0053771E" w:rsidTr="00804CC0">
        <w:trPr>
          <w:trHeight w:val="5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5394" w:rsidRPr="003F5AD1" w:rsidRDefault="00895394" w:rsidP="008953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</w:t>
            </w:r>
            <w:r w:rsidR="00895394"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Яйца - всего, тыс.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124,0</w:t>
            </w:r>
          </w:p>
        </w:tc>
      </w:tr>
      <w:tr w:rsidR="00DA5DF7" w:rsidRPr="0053771E" w:rsidTr="00804CC0">
        <w:trPr>
          <w:trHeight w:val="140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124,0</w:t>
            </w:r>
          </w:p>
        </w:tc>
      </w:tr>
      <w:tr w:rsidR="00DA5DF7" w:rsidRPr="0053771E" w:rsidTr="00DA5DF7">
        <w:trPr>
          <w:trHeight w:val="5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804C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</w:t>
            </w:r>
            <w:r w:rsidR="00895394">
              <w:rPr>
                <w:rFonts w:ascii="Times New Roman" w:hAnsi="Times New Roman"/>
              </w:rPr>
              <w:t>570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AD1">
              <w:rPr>
                <w:rFonts w:ascii="Times New Roman" w:hAnsi="Times New Roman"/>
                <w:color w:val="000000" w:themeColor="text1"/>
              </w:rPr>
              <w:t>1571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100,1</w:t>
            </w:r>
          </w:p>
        </w:tc>
      </w:tr>
      <w:tr w:rsidR="00DA5DF7" w:rsidRPr="0053771E" w:rsidTr="00804CC0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5394" w:rsidRPr="003F5AD1" w:rsidRDefault="00895394" w:rsidP="00895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95394">
        <w:trPr>
          <w:trHeight w:val="8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lastRenderedPageBreak/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</w:t>
            </w:r>
            <w:r w:rsidR="00895394">
              <w:rPr>
                <w:rFonts w:ascii="Times New Roman" w:hAnsi="Times New Roman"/>
              </w:rPr>
              <w:t>233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DA5DF7" w:rsidRPr="0053771E" w:rsidTr="00804CC0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895394" w:rsidRDefault="00DA5DF7" w:rsidP="00DA5DF7">
            <w:pPr>
              <w:rPr>
                <w:rFonts w:ascii="Times New Roman" w:hAnsi="Times New Roman"/>
                <w:color w:val="000000" w:themeColor="text1"/>
              </w:rPr>
            </w:pPr>
            <w:r w:rsidRPr="00895394">
              <w:rPr>
                <w:rFonts w:ascii="Times New Roman" w:hAnsi="Times New Roman"/>
                <w:color w:val="000000" w:themeColor="text1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DA5DF7" w:rsidRPr="0053771E" w:rsidTr="00895394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DF7" w:rsidRPr="00895394" w:rsidRDefault="00DA5DF7" w:rsidP="00DA5DF7">
            <w:pPr>
              <w:rPr>
                <w:rFonts w:ascii="Times New Roman" w:hAnsi="Times New Roman"/>
                <w:color w:val="000000" w:themeColor="text1"/>
              </w:rPr>
            </w:pPr>
            <w:r w:rsidRPr="00895394">
              <w:rPr>
                <w:rFonts w:ascii="Times New Roman" w:hAnsi="Times New Roman"/>
                <w:color w:val="000000" w:themeColor="text1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4</w:t>
            </w:r>
            <w:r w:rsidR="00895394">
              <w:rPr>
                <w:rFonts w:ascii="Times New Roman" w:hAnsi="Times New Roman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445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895394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</w:t>
            </w:r>
            <w:r w:rsidR="00895394">
              <w:rPr>
                <w:rFonts w:ascii="Times New Roman" w:hAnsi="Times New Roman"/>
              </w:rPr>
              <w:t>0,5</w:t>
            </w:r>
          </w:p>
        </w:tc>
      </w:tr>
      <w:tr w:rsidR="00DA5DF7" w:rsidRPr="0053771E" w:rsidTr="00895394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DF7" w:rsidRPr="00895394" w:rsidRDefault="00DA5DF7" w:rsidP="00DA5DF7">
            <w:pPr>
              <w:rPr>
                <w:rFonts w:ascii="Times New Roman" w:hAnsi="Times New Roman"/>
                <w:color w:val="000000" w:themeColor="text1"/>
              </w:rPr>
            </w:pPr>
            <w:r w:rsidRPr="00895394">
              <w:rPr>
                <w:rFonts w:ascii="Times New Roman" w:hAnsi="Times New Roman"/>
                <w:color w:val="000000" w:themeColor="text1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560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895394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DA5DF7" w:rsidRPr="0053771E" w:rsidTr="00895394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DF7" w:rsidRPr="00895394" w:rsidRDefault="00DA5DF7" w:rsidP="00DA5DF7">
            <w:pPr>
              <w:rPr>
                <w:rFonts w:ascii="Times New Roman" w:hAnsi="Times New Roman"/>
                <w:color w:val="000000" w:themeColor="text1"/>
              </w:rPr>
            </w:pPr>
            <w:r w:rsidRPr="00895394">
              <w:rPr>
                <w:rFonts w:ascii="Times New Roman" w:hAnsi="Times New Roman"/>
                <w:color w:val="000000" w:themeColor="text1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140,0</w:t>
            </w:r>
          </w:p>
        </w:tc>
      </w:tr>
      <w:tr w:rsidR="00DA5DF7" w:rsidRPr="0053771E" w:rsidTr="00895394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DF7" w:rsidRPr="00895394" w:rsidRDefault="00DA5DF7" w:rsidP="00DA5DF7">
            <w:pPr>
              <w:rPr>
                <w:rFonts w:ascii="Times New Roman" w:hAnsi="Times New Roman"/>
                <w:color w:val="000000" w:themeColor="text1"/>
              </w:rPr>
            </w:pPr>
            <w:r w:rsidRPr="00895394">
              <w:rPr>
                <w:rFonts w:ascii="Times New Roman" w:hAnsi="Times New Roman"/>
                <w:color w:val="000000" w:themeColor="text1"/>
              </w:rPr>
              <w:t>Оборот розничной торговли, 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110000,00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11</w:t>
            </w:r>
            <w:r w:rsidR="001B0B1D">
              <w:rPr>
                <w:rFonts w:ascii="Times New Roman" w:hAnsi="Times New Roman"/>
              </w:rPr>
              <w:t>0</w:t>
            </w:r>
            <w:r w:rsidRPr="003F5AD1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</w:t>
            </w:r>
            <w:r w:rsidR="001B0B1D"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DA5DF7">
        <w:trPr>
          <w:trHeight w:val="33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Оборот общественного питания,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DA5DF7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Объем платных услуг населению,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6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</w:t>
            </w:r>
            <w:r w:rsidR="001B0B1D">
              <w:rPr>
                <w:rFonts w:ascii="Times New Roman" w:hAnsi="Times New Roman"/>
              </w:rPr>
              <w:t>64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0B1D" w:rsidRPr="0053771E" w:rsidTr="004D7AF5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1D" w:rsidRPr="003F5AD1" w:rsidRDefault="001B0B1D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B1D" w:rsidRPr="003F5AD1" w:rsidRDefault="001B0B1D" w:rsidP="004A449F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0,179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1D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0,179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B0B1D" w:rsidRDefault="001B0B1D" w:rsidP="001B0B1D">
            <w:pPr>
              <w:jc w:val="center"/>
            </w:pPr>
            <w:r w:rsidRPr="0070752F">
              <w:rPr>
                <w:rFonts w:ascii="Times New Roman" w:hAnsi="Times New Roman"/>
              </w:rPr>
              <w:t>100,0</w:t>
            </w:r>
          </w:p>
        </w:tc>
      </w:tr>
      <w:tr w:rsidR="001B0B1D" w:rsidRPr="0053771E" w:rsidTr="004D7AF5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1D" w:rsidRPr="003F5AD1" w:rsidRDefault="001B0B1D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B1D" w:rsidRPr="003F5AD1" w:rsidRDefault="001B0B1D" w:rsidP="004A449F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0,179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1D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0,179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B0B1D" w:rsidRDefault="001B0B1D" w:rsidP="001B0B1D">
            <w:pPr>
              <w:jc w:val="center"/>
            </w:pPr>
            <w:r w:rsidRPr="0070752F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both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1B0B1D" w:rsidRPr="0053771E" w:rsidTr="001B0B1D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1D" w:rsidRPr="003F5AD1" w:rsidRDefault="001B0B1D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B1D" w:rsidRPr="003F5AD1" w:rsidRDefault="001B0B1D" w:rsidP="00DA5DF7">
            <w:pPr>
              <w:rPr>
                <w:rFonts w:ascii="Times New Roman" w:hAnsi="Times New Roman"/>
              </w:rPr>
            </w:pPr>
          </w:p>
          <w:p w:rsidR="001B0B1D" w:rsidRPr="003F5AD1" w:rsidRDefault="001B0B1D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B1D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0B1D" w:rsidRDefault="001B0B1D" w:rsidP="001B0B1D">
            <w:pPr>
              <w:jc w:val="center"/>
              <w:rPr>
                <w:rFonts w:ascii="Times New Roman" w:hAnsi="Times New Roman"/>
              </w:rPr>
            </w:pPr>
          </w:p>
          <w:p w:rsidR="001B0B1D" w:rsidRDefault="001B0B1D" w:rsidP="001B0B1D">
            <w:pPr>
              <w:jc w:val="center"/>
            </w:pPr>
            <w:r w:rsidRPr="008E6687">
              <w:rPr>
                <w:rFonts w:ascii="Times New Roman" w:hAnsi="Times New Roman"/>
              </w:rPr>
              <w:t>100,0</w:t>
            </w:r>
          </w:p>
        </w:tc>
      </w:tr>
      <w:tr w:rsidR="001B0B1D" w:rsidRPr="0053771E" w:rsidTr="001B0B1D">
        <w:trPr>
          <w:trHeight w:val="3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1D" w:rsidRPr="003F5AD1" w:rsidRDefault="001B0B1D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B1D" w:rsidRPr="003F5AD1" w:rsidRDefault="001B0B1D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1D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0B1D" w:rsidRDefault="001B0B1D" w:rsidP="001B0B1D">
            <w:pPr>
              <w:jc w:val="center"/>
            </w:pPr>
            <w:r w:rsidRPr="008E6687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общеобразовательных школ, ученических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804CC0">
        <w:trPr>
          <w:trHeight w:val="33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больниц, коек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804CC0">
        <w:trPr>
          <w:trHeight w:val="5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амбулаторно-поликлинических учреждений,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больничными койками, коек на 1 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</w:t>
            </w:r>
          </w:p>
        </w:tc>
      </w:tr>
      <w:tr w:rsidR="00DA5DF7" w:rsidRPr="0053771E" w:rsidTr="00804CC0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lastRenderedPageBreak/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1B0B1D">
        <w:trPr>
          <w:trHeight w:val="482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both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both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спортивными сооружениям,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2497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2497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both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703,7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1B0B1D">
        <w:trPr>
          <w:trHeight w:val="9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Количество больничных коек,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</w:t>
            </w:r>
            <w:r w:rsidR="001B0B1D">
              <w:rPr>
                <w:rFonts w:ascii="Times New Roman" w:hAnsi="Times New Roman"/>
              </w:rPr>
              <w:t>,0</w:t>
            </w:r>
          </w:p>
        </w:tc>
      </w:tr>
      <w:tr w:rsidR="00DA5DF7" w:rsidRPr="0053771E" w:rsidTr="00804CC0">
        <w:trPr>
          <w:trHeight w:val="792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</w:t>
            </w:r>
            <w:r w:rsidR="001B0B1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Количество индивидуальных предпринимателей,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28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right"/>
              <w:rPr>
                <w:rFonts w:ascii="Times New Roman" w:hAnsi="Times New Roman"/>
              </w:rPr>
            </w:pP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14,5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 xml:space="preserve">Общий объем расходов бюджета поселения на развитие </w:t>
            </w:r>
            <w:r w:rsidRPr="003F5AD1">
              <w:rPr>
                <w:rFonts w:ascii="Times New Roman" w:hAnsi="Times New Roman"/>
              </w:rPr>
              <w:lastRenderedPageBreak/>
              <w:t>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lastRenderedPageBreak/>
              <w:t>3000,0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6161FB">
        <w:trPr>
          <w:trHeight w:val="74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lastRenderedPageBreak/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1B0B1D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both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Протяженность освещенных улиц,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Протяженность водопроводных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both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24,3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17,5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33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1B0B1D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6</w:t>
            </w:r>
            <w:r w:rsidR="001B0B1D">
              <w:rPr>
                <w:rFonts w:ascii="Times New Roman" w:hAnsi="Times New Roman"/>
              </w:rPr>
              <w:t>7</w:t>
            </w:r>
            <w:r w:rsidRPr="003F5AD1">
              <w:rPr>
                <w:rFonts w:ascii="Times New Roman" w:hAnsi="Times New Roman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67,0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1B0B1D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Количество высаженных зеленых насаждений,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6161FB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6161FB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804CC0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6161FB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6161FB" w:rsidP="00DA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5DF7" w:rsidRPr="0053771E" w:rsidTr="00DA5DF7">
        <w:trPr>
          <w:trHeight w:val="6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5AD1">
              <w:rPr>
                <w:rFonts w:ascii="Times New Roman" w:hAnsi="Times New Roman"/>
                <w:b/>
                <w:bCs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</w:p>
        </w:tc>
      </w:tr>
      <w:tr w:rsidR="00DA5DF7" w:rsidRPr="0053771E" w:rsidTr="00804CC0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5DF7" w:rsidRPr="003F5AD1" w:rsidRDefault="00DA5DF7" w:rsidP="00DA5DF7">
            <w:pPr>
              <w:jc w:val="center"/>
              <w:rPr>
                <w:rFonts w:ascii="Times New Roman" w:hAnsi="Times New Roman"/>
              </w:rPr>
            </w:pPr>
            <w:r w:rsidRPr="003F5AD1">
              <w:rPr>
                <w:rFonts w:ascii="Times New Roman" w:hAnsi="Times New Roman"/>
              </w:rPr>
              <w:t>0</w:t>
            </w:r>
          </w:p>
        </w:tc>
      </w:tr>
    </w:tbl>
    <w:p w:rsidR="00F66E05" w:rsidRPr="00F66E05" w:rsidRDefault="00F66E05" w:rsidP="00F66E05">
      <w:pPr>
        <w:pStyle w:val="a7"/>
        <w:tabs>
          <w:tab w:val="center" w:pos="73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771E" w:rsidRDefault="0053771E" w:rsidP="0053771E">
      <w:pPr>
        <w:rPr>
          <w:rFonts w:ascii="Times New Roman" w:hAnsi="Times New Roman"/>
          <w:sz w:val="28"/>
          <w:szCs w:val="28"/>
        </w:rPr>
      </w:pPr>
    </w:p>
    <w:p w:rsidR="0053771E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3771E" w:rsidRPr="00A919E1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A91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771E" w:rsidRPr="00A919E1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9E1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</w:t>
      </w:r>
      <w:r w:rsidR="00C81C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19E1">
        <w:rPr>
          <w:rFonts w:ascii="Times New Roman" w:hAnsi="Times New Roman" w:cs="Times New Roman"/>
          <w:sz w:val="28"/>
          <w:szCs w:val="28"/>
        </w:rPr>
        <w:t xml:space="preserve">      </w:t>
      </w:r>
      <w:r w:rsidR="006161FB">
        <w:rPr>
          <w:rFonts w:ascii="Times New Roman" w:hAnsi="Times New Roman" w:cs="Times New Roman"/>
          <w:sz w:val="28"/>
          <w:szCs w:val="28"/>
        </w:rPr>
        <w:t>Н.А.Ткаченко</w:t>
      </w:r>
    </w:p>
    <w:p w:rsidR="0053771E" w:rsidRDefault="0053771E" w:rsidP="0053771E">
      <w:pPr>
        <w:rPr>
          <w:rFonts w:ascii="Times New Roman" w:hAnsi="Times New Roman"/>
          <w:sz w:val="28"/>
          <w:szCs w:val="28"/>
        </w:rPr>
      </w:pPr>
    </w:p>
    <w:p w:rsidR="0053771E" w:rsidRPr="0053771E" w:rsidRDefault="0053771E" w:rsidP="0053771E">
      <w:pPr>
        <w:rPr>
          <w:rFonts w:ascii="Times New Roman" w:hAnsi="Times New Roman" w:cs="Times New Roman"/>
        </w:rPr>
      </w:pPr>
      <w:r w:rsidRPr="0053771E">
        <w:rPr>
          <w:rFonts w:ascii="Times New Roman" w:hAnsi="Times New Roman"/>
          <w:sz w:val="28"/>
          <w:szCs w:val="28"/>
        </w:rPr>
        <w:br w:type="page"/>
      </w:r>
      <w:r w:rsidR="006161F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8102F4">
        <w:rPr>
          <w:rFonts w:ascii="Times New Roman" w:hAnsi="Times New Roman"/>
          <w:sz w:val="28"/>
          <w:szCs w:val="28"/>
        </w:rPr>
        <w:t xml:space="preserve">                          </w:t>
      </w:r>
      <w:r w:rsidRPr="00412CEF">
        <w:rPr>
          <w:rFonts w:ascii="Times New Roman" w:hAnsi="Times New Roman"/>
          <w:sz w:val="28"/>
          <w:szCs w:val="28"/>
        </w:rPr>
        <w:t>ПРИЛОЖЕНИЕ № 2</w:t>
      </w:r>
    </w:p>
    <w:p w:rsidR="008102F4" w:rsidRDefault="008102F4" w:rsidP="008102F4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412CEF">
        <w:rPr>
          <w:rFonts w:ascii="Times New Roman" w:hAnsi="Times New Roman"/>
          <w:sz w:val="28"/>
          <w:szCs w:val="28"/>
        </w:rPr>
        <w:t xml:space="preserve">к решению Совета  </w:t>
      </w:r>
      <w:r>
        <w:rPr>
          <w:rFonts w:ascii="Times New Roman" w:hAnsi="Times New Roman"/>
          <w:sz w:val="28"/>
          <w:szCs w:val="28"/>
        </w:rPr>
        <w:t>Куйбышевского</w:t>
      </w:r>
    </w:p>
    <w:p w:rsidR="008102F4" w:rsidRPr="00A919E1" w:rsidRDefault="008102F4" w:rsidP="008102F4">
      <w:pPr>
        <w:spacing w:after="0" w:line="240" w:lineRule="auto"/>
        <w:ind w:left="3686"/>
        <w:jc w:val="center"/>
      </w:pPr>
      <w:r w:rsidRPr="00412CEF">
        <w:rPr>
          <w:rFonts w:ascii="Times New Roman" w:hAnsi="Times New Roman"/>
          <w:sz w:val="28"/>
          <w:szCs w:val="28"/>
        </w:rPr>
        <w:t>сельского поселения Староминского района</w:t>
      </w:r>
    </w:p>
    <w:p w:rsidR="008102F4" w:rsidRDefault="008102F4" w:rsidP="008102F4">
      <w:pPr>
        <w:pStyle w:val="a7"/>
        <w:tabs>
          <w:tab w:val="center" w:pos="7371"/>
        </w:tabs>
        <w:ind w:left="368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29 апреля 2021</w:t>
      </w:r>
      <w:r w:rsidRPr="00A919E1">
        <w:rPr>
          <w:rFonts w:ascii="Times New Roman" w:hAnsi="Times New Roman"/>
          <w:sz w:val="28"/>
          <w:u w:val="single"/>
        </w:rPr>
        <w:t xml:space="preserve"> </w:t>
      </w:r>
      <w:r w:rsidRPr="00F66F68">
        <w:rPr>
          <w:rFonts w:ascii="Times New Roman" w:hAnsi="Times New Roman"/>
          <w:sz w:val="28"/>
          <w:u w:val="single"/>
        </w:rPr>
        <w:t>года № 21/3</w:t>
      </w:r>
    </w:p>
    <w:p w:rsidR="0053771E" w:rsidRPr="00412CEF" w:rsidRDefault="0053771E" w:rsidP="0053771E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53771E" w:rsidRPr="00412CEF" w:rsidRDefault="0053771E" w:rsidP="0053771E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53771E" w:rsidRPr="00412CEF" w:rsidRDefault="0053771E" w:rsidP="0053771E">
      <w:pPr>
        <w:pStyle w:val="a7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771E" w:rsidRPr="0053771E" w:rsidRDefault="0053771E" w:rsidP="0053771E">
      <w:pPr>
        <w:pStyle w:val="a7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53771E">
        <w:rPr>
          <w:rFonts w:ascii="Times New Roman" w:hAnsi="Times New Roman"/>
          <w:b/>
          <w:sz w:val="28"/>
        </w:rPr>
        <w:t>СОСТАВ</w:t>
      </w:r>
    </w:p>
    <w:p w:rsidR="0053771E" w:rsidRPr="0053771E" w:rsidRDefault="0053771E" w:rsidP="0053771E">
      <w:pPr>
        <w:pStyle w:val="a7"/>
        <w:ind w:firstLine="851"/>
        <w:jc w:val="center"/>
        <w:rPr>
          <w:rFonts w:ascii="Times New Roman" w:hAnsi="Times New Roman"/>
          <w:b/>
          <w:sz w:val="28"/>
        </w:rPr>
      </w:pPr>
      <w:r w:rsidRPr="0053771E">
        <w:rPr>
          <w:rFonts w:ascii="Times New Roman" w:hAnsi="Times New Roman"/>
          <w:b/>
          <w:sz w:val="28"/>
        </w:rPr>
        <w:t>оргкомитета по проведению публичных слушаний по теме:</w:t>
      </w:r>
    </w:p>
    <w:p w:rsidR="0053771E" w:rsidRPr="0053771E" w:rsidRDefault="0053771E" w:rsidP="005377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3771E">
        <w:rPr>
          <w:rFonts w:ascii="Times New Roman" w:hAnsi="Times New Roman"/>
          <w:b/>
          <w:sz w:val="28"/>
        </w:rPr>
        <w:t>«Рассмотрение п</w:t>
      </w:r>
      <w:r w:rsidRPr="0053771E">
        <w:rPr>
          <w:rFonts w:ascii="Times New Roman" w:hAnsi="Times New Roman"/>
          <w:b/>
          <w:sz w:val="28"/>
          <w:szCs w:val="28"/>
        </w:rPr>
        <w:t>роекта отчета об исполнении индикативного плана социально-экономического развития Куйбышевского  сельского поселения</w:t>
      </w:r>
      <w:r w:rsidR="006E19DB">
        <w:rPr>
          <w:rFonts w:ascii="Times New Roman" w:hAnsi="Times New Roman"/>
          <w:b/>
          <w:sz w:val="28"/>
          <w:szCs w:val="28"/>
        </w:rPr>
        <w:t>Староминского района за 20</w:t>
      </w:r>
      <w:r w:rsidR="008102F4">
        <w:rPr>
          <w:rFonts w:ascii="Times New Roman" w:hAnsi="Times New Roman"/>
          <w:b/>
          <w:sz w:val="28"/>
          <w:szCs w:val="28"/>
        </w:rPr>
        <w:t xml:space="preserve">20 </w:t>
      </w:r>
      <w:r w:rsidRPr="0053771E">
        <w:rPr>
          <w:rFonts w:ascii="Times New Roman" w:hAnsi="Times New Roman"/>
          <w:b/>
          <w:sz w:val="28"/>
          <w:szCs w:val="28"/>
        </w:rPr>
        <w:t>год</w:t>
      </w:r>
      <w:r w:rsidRPr="0053771E">
        <w:rPr>
          <w:rFonts w:ascii="Times New Roman" w:hAnsi="Times New Roman"/>
          <w:b/>
          <w:sz w:val="28"/>
        </w:rPr>
        <w:t>»</w:t>
      </w:r>
    </w:p>
    <w:p w:rsidR="0053771E" w:rsidRPr="00BE0955" w:rsidRDefault="0053771E" w:rsidP="0053771E">
      <w:pPr>
        <w:pStyle w:val="a7"/>
        <w:ind w:firstLine="851"/>
        <w:jc w:val="center"/>
        <w:rPr>
          <w:rFonts w:ascii="Times New Roman" w:hAnsi="Times New Roman"/>
          <w:sz w:val="28"/>
        </w:rPr>
      </w:pPr>
    </w:p>
    <w:p w:rsidR="0053771E" w:rsidRPr="00412CEF" w:rsidRDefault="0053771E" w:rsidP="0053771E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71E" w:rsidRPr="00412CEF" w:rsidRDefault="0053771E" w:rsidP="0053771E">
      <w:pPr>
        <w:pStyle w:val="a7"/>
        <w:rPr>
          <w:rFonts w:ascii="Times New Roman" w:hAnsi="Times New Roman"/>
          <w:sz w:val="28"/>
          <w:szCs w:val="28"/>
        </w:rPr>
      </w:pPr>
    </w:p>
    <w:p w:rsidR="0053771E" w:rsidRPr="00412CEF" w:rsidRDefault="0053771E" w:rsidP="0053771E">
      <w:pPr>
        <w:pStyle w:val="ConsNormal"/>
        <w:widowControl/>
        <w:numPr>
          <w:ilvl w:val="0"/>
          <w:numId w:val="1"/>
        </w:numPr>
        <w:ind w:right="0" w:hanging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Смольянинов Евгений Петрович</w:t>
      </w:r>
    </w:p>
    <w:p w:rsidR="0053771E" w:rsidRPr="00412CEF" w:rsidRDefault="008102F4" w:rsidP="0053771E">
      <w:pPr>
        <w:pStyle w:val="ConsNormal"/>
        <w:widowControl/>
        <w:numPr>
          <w:ilvl w:val="0"/>
          <w:numId w:val="1"/>
        </w:numPr>
        <w:ind w:right="0" w:hanging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Наталья Алексеевна</w:t>
      </w:r>
    </w:p>
    <w:p w:rsidR="0053771E" w:rsidRPr="00412CEF" w:rsidRDefault="0053771E" w:rsidP="0053771E">
      <w:pPr>
        <w:pStyle w:val="ConsNormal"/>
        <w:widowControl/>
        <w:numPr>
          <w:ilvl w:val="0"/>
          <w:numId w:val="1"/>
        </w:numPr>
        <w:ind w:right="0" w:hanging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Елена Анатольевна</w:t>
      </w:r>
    </w:p>
    <w:p w:rsidR="0053771E" w:rsidRPr="00412CEF" w:rsidRDefault="0053771E" w:rsidP="0053771E">
      <w:pPr>
        <w:pStyle w:val="ConsNormal"/>
        <w:widowControl/>
        <w:numPr>
          <w:ilvl w:val="0"/>
          <w:numId w:val="1"/>
        </w:numPr>
        <w:ind w:right="0" w:hanging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Свистун Татьяна Владимировна</w:t>
      </w:r>
    </w:p>
    <w:p w:rsidR="0053771E" w:rsidRPr="00412CEF" w:rsidRDefault="00712FF8" w:rsidP="0053771E">
      <w:pPr>
        <w:pStyle w:val="ConsNormal"/>
        <w:widowControl/>
        <w:numPr>
          <w:ilvl w:val="0"/>
          <w:numId w:val="1"/>
        </w:numPr>
        <w:ind w:right="0" w:hanging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Коломоец Татьяна Анатольевна</w:t>
      </w:r>
    </w:p>
    <w:p w:rsidR="0053771E" w:rsidRPr="00412CEF" w:rsidRDefault="0053771E" w:rsidP="0053771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771E" w:rsidRPr="00412CEF" w:rsidRDefault="0053771E" w:rsidP="0053771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771E" w:rsidRPr="00412CEF" w:rsidRDefault="0053771E" w:rsidP="0053771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771E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3771E" w:rsidRPr="00A919E1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A91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771E" w:rsidRPr="00A919E1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9E1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</w:t>
      </w:r>
      <w:r w:rsidR="00C81C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02F4">
        <w:rPr>
          <w:rFonts w:ascii="Times New Roman" w:hAnsi="Times New Roman" w:cs="Times New Roman"/>
          <w:sz w:val="28"/>
          <w:szCs w:val="28"/>
        </w:rPr>
        <w:t>Н.А.Ткаченко</w:t>
      </w:r>
    </w:p>
    <w:p w:rsidR="0053771E" w:rsidRDefault="0053771E">
      <w:pPr>
        <w:rPr>
          <w:rFonts w:ascii="Times New Roman" w:hAnsi="Times New Roman"/>
          <w:sz w:val="28"/>
          <w:szCs w:val="28"/>
        </w:rPr>
      </w:pPr>
    </w:p>
    <w:p w:rsidR="0053771E" w:rsidRDefault="00537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771E" w:rsidRDefault="0053771E" w:rsidP="0053771E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412CE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8102F4" w:rsidRDefault="008102F4" w:rsidP="008102F4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412CEF">
        <w:rPr>
          <w:rFonts w:ascii="Times New Roman" w:hAnsi="Times New Roman"/>
          <w:sz w:val="28"/>
          <w:szCs w:val="28"/>
        </w:rPr>
        <w:t xml:space="preserve">к решению Совета  </w:t>
      </w:r>
      <w:r>
        <w:rPr>
          <w:rFonts w:ascii="Times New Roman" w:hAnsi="Times New Roman"/>
          <w:sz w:val="28"/>
          <w:szCs w:val="28"/>
        </w:rPr>
        <w:t>Куйбышевского</w:t>
      </w:r>
    </w:p>
    <w:p w:rsidR="008102F4" w:rsidRPr="00A919E1" w:rsidRDefault="008102F4" w:rsidP="008102F4">
      <w:pPr>
        <w:spacing w:after="0" w:line="240" w:lineRule="auto"/>
        <w:ind w:left="3686"/>
        <w:jc w:val="center"/>
      </w:pPr>
      <w:r w:rsidRPr="00412CEF">
        <w:rPr>
          <w:rFonts w:ascii="Times New Roman" w:hAnsi="Times New Roman"/>
          <w:sz w:val="28"/>
          <w:szCs w:val="28"/>
        </w:rPr>
        <w:t>сельского поселения Староминского района</w:t>
      </w:r>
    </w:p>
    <w:p w:rsidR="008102F4" w:rsidRDefault="008102F4" w:rsidP="008102F4">
      <w:pPr>
        <w:pStyle w:val="a7"/>
        <w:tabs>
          <w:tab w:val="center" w:pos="7371"/>
        </w:tabs>
        <w:ind w:left="368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29 апреля 2021</w:t>
      </w:r>
      <w:r w:rsidRPr="00A919E1">
        <w:rPr>
          <w:rFonts w:ascii="Times New Roman" w:hAnsi="Times New Roman"/>
          <w:sz w:val="28"/>
          <w:u w:val="single"/>
        </w:rPr>
        <w:t xml:space="preserve"> </w:t>
      </w:r>
      <w:r w:rsidRPr="00F66F68">
        <w:rPr>
          <w:rFonts w:ascii="Times New Roman" w:hAnsi="Times New Roman"/>
          <w:sz w:val="28"/>
          <w:u w:val="single"/>
        </w:rPr>
        <w:t>года № 21/3</w:t>
      </w:r>
    </w:p>
    <w:p w:rsidR="0053771E" w:rsidRDefault="0053771E" w:rsidP="0053771E">
      <w:pPr>
        <w:pStyle w:val="a7"/>
        <w:spacing w:line="130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3771E" w:rsidRDefault="0053771E" w:rsidP="0053771E">
      <w:pPr>
        <w:pStyle w:val="a7"/>
        <w:spacing w:line="130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3771E" w:rsidRDefault="0053771E" w:rsidP="0053771E">
      <w:pPr>
        <w:pStyle w:val="a7"/>
        <w:spacing w:line="130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3771E" w:rsidRDefault="0053771E" w:rsidP="0053771E">
      <w:pPr>
        <w:pStyle w:val="a7"/>
        <w:spacing w:line="130" w:lineRule="atLeas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Порядок учета предложений и участия граждан</w:t>
      </w:r>
    </w:p>
    <w:p w:rsidR="0053771E" w:rsidRDefault="0053771E" w:rsidP="0053771E">
      <w:pPr>
        <w:pStyle w:val="a7"/>
        <w:spacing w:line="130" w:lineRule="atLeas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 обсуждении проекта отчета об исполнении индикативного плана социально-экономического развития  Куйбышевского сельского поселен</w:t>
      </w:r>
      <w:r w:rsidR="006E19DB">
        <w:rPr>
          <w:rFonts w:ascii="Times New Roman" w:hAnsi="Times New Roman"/>
          <w:b/>
          <w:bCs/>
          <w:sz w:val="28"/>
          <w:szCs w:val="24"/>
        </w:rPr>
        <w:t>ия Староминского района за 20</w:t>
      </w:r>
      <w:r w:rsidR="008102F4">
        <w:rPr>
          <w:rFonts w:ascii="Times New Roman" w:hAnsi="Times New Roman"/>
          <w:b/>
          <w:bCs/>
          <w:sz w:val="28"/>
          <w:szCs w:val="24"/>
        </w:rPr>
        <w:t>20</w:t>
      </w:r>
      <w:r w:rsidR="006E19DB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год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53771E" w:rsidRDefault="008102F4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="0053771E">
        <w:rPr>
          <w:rFonts w:ascii="Times New Roman" w:hAnsi="Times New Roman"/>
          <w:sz w:val="28"/>
          <w:szCs w:val="24"/>
        </w:rPr>
        <w:t>1. Население Куйбышевского сельского поселения  Староминского района  с момента обнародования проекта отчета об исполнении индикативного плана социально-экономического развития  Куйбышевского сельского поселени</w:t>
      </w:r>
      <w:r w:rsidR="006E19DB">
        <w:rPr>
          <w:rFonts w:ascii="Times New Roman" w:hAnsi="Times New Roman"/>
          <w:sz w:val="28"/>
          <w:szCs w:val="24"/>
        </w:rPr>
        <w:t>я  Староминского района  за 20</w:t>
      </w:r>
      <w:r>
        <w:rPr>
          <w:rFonts w:ascii="Times New Roman" w:hAnsi="Times New Roman"/>
          <w:sz w:val="28"/>
          <w:szCs w:val="24"/>
        </w:rPr>
        <w:t>20</w:t>
      </w:r>
      <w:r w:rsidR="0053771E">
        <w:rPr>
          <w:rFonts w:ascii="Times New Roman" w:hAnsi="Times New Roman"/>
          <w:sz w:val="28"/>
          <w:szCs w:val="24"/>
        </w:rPr>
        <w:t xml:space="preserve"> год  вправе участвовать в его обсуждении в следующих формах: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1) проведения собраний граждан по месту жительства;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2) массового обсуждения проекта отчета об исполнении  индикативного плана социально-экономического развития Куйбышевского сельского поселени</w:t>
      </w:r>
      <w:r w:rsidR="006E19DB">
        <w:rPr>
          <w:rFonts w:ascii="Times New Roman" w:hAnsi="Times New Roman"/>
          <w:sz w:val="28"/>
          <w:szCs w:val="24"/>
        </w:rPr>
        <w:t>я  Староминского района 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 в порядке, предусмотренном настоящим Порядком; 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3) проведения публичных слушаний по проекту отчета об исполнении индикативного плана социально-экономического развития  Куйбышевского сельского поселени</w:t>
      </w:r>
      <w:r w:rsidR="006E19DB">
        <w:rPr>
          <w:rFonts w:ascii="Times New Roman" w:hAnsi="Times New Roman"/>
          <w:sz w:val="28"/>
          <w:szCs w:val="24"/>
        </w:rPr>
        <w:t>я  Староминского района 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год;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4) в иных формах, не противоречащих действующему законодательству.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2. Предложения о дополнениях и (или) изменениях по обнародованному проекту отчета об исполнении индикативного плана социально-экономического развития     Куйбышевского сельского поселени</w:t>
      </w:r>
      <w:r w:rsidR="006E19DB">
        <w:rPr>
          <w:rFonts w:ascii="Times New Roman" w:hAnsi="Times New Roman"/>
          <w:sz w:val="28"/>
          <w:szCs w:val="24"/>
        </w:rPr>
        <w:t>я  Староминского района 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индикативного плана социально-экономического развития Куйбышевского сельского поселен</w:t>
      </w:r>
      <w:r w:rsidR="006E19DB">
        <w:rPr>
          <w:rFonts w:ascii="Times New Roman" w:hAnsi="Times New Roman"/>
          <w:sz w:val="28"/>
          <w:szCs w:val="24"/>
        </w:rPr>
        <w:t>ия  Староминского района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 (далее – рабочая группа), создаваемую оргкомитетом.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3. Предложения населения к обнародованному проекту отчета об исполнении индикативного плана социально-экономического развития  Куйбышевского сельского поселения  Староминского района  Куйбышевского сельского поселени</w:t>
      </w:r>
      <w:r w:rsidR="006E19DB">
        <w:rPr>
          <w:rFonts w:ascii="Times New Roman" w:hAnsi="Times New Roman"/>
          <w:sz w:val="28"/>
          <w:szCs w:val="24"/>
        </w:rPr>
        <w:t>я  Староминского района 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 могут вноситься в течение 5 дней со дня его обнародования в рабочую группу и рассматриваются ею в соответствии с настоящим Порядком.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4. Внесенные предложения регистрируются рабочей группой.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6. Предложения должны соответствовать следующим требованиям: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1) должны обеспечивать однозначное толкование положений проекта отчета об исполнении индикативного плана социально-экономического развития Куйбышевского сельского поселен</w:t>
      </w:r>
      <w:r w:rsidR="006E19DB">
        <w:rPr>
          <w:rFonts w:ascii="Times New Roman" w:hAnsi="Times New Roman"/>
          <w:sz w:val="28"/>
          <w:szCs w:val="24"/>
        </w:rPr>
        <w:t>ия  Староминского района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2) не допускать противоречие либо несогласованность с иными положениями отчета об исполнении индикативного плана социально-экономического развития Куйбышевского сельского поселен</w:t>
      </w:r>
      <w:r w:rsidR="006E19DB">
        <w:rPr>
          <w:rFonts w:ascii="Times New Roman" w:hAnsi="Times New Roman"/>
          <w:sz w:val="28"/>
          <w:szCs w:val="24"/>
        </w:rPr>
        <w:t>ия  Староминского района за 20</w:t>
      </w:r>
      <w:r w:rsidR="008102F4">
        <w:rPr>
          <w:rFonts w:ascii="Times New Roman" w:hAnsi="Times New Roman"/>
          <w:sz w:val="28"/>
          <w:szCs w:val="24"/>
        </w:rPr>
        <w:t xml:space="preserve">20 </w:t>
      </w:r>
      <w:r>
        <w:rPr>
          <w:rFonts w:ascii="Times New Roman" w:hAnsi="Times New Roman"/>
          <w:sz w:val="28"/>
          <w:szCs w:val="24"/>
        </w:rPr>
        <w:t xml:space="preserve"> год.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8. По итогам изучения, анализа и обобщения внесенных предложений рабочая группа составляет заключение.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9. Заключение рабочей группы на внесенные предложения должно содержать следующие положения: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1) общее количество поступивших предложений;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2) количество поступивших предложений, оставленных в соответствии с настоящим  Порядком без рассмотрения;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3) отклоненные предложения ввиду несоответствия требованиям, предъявляемым настоящим Порядком;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4) предложения, рекомендуемые рабочей группой к отклонению;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5) предложения, рекомендуемые рабочей группой для внесения в текст проекта отчета об исполнении индикативного плана социально-экономического развития Куйбышевского сельского поселен</w:t>
      </w:r>
      <w:r w:rsidR="006E19DB">
        <w:rPr>
          <w:rFonts w:ascii="Times New Roman" w:hAnsi="Times New Roman"/>
          <w:sz w:val="28"/>
          <w:szCs w:val="24"/>
        </w:rPr>
        <w:t>ия  Староминского района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10. Рабочая группа представляет в оргкомитет свое заключение и материалы деятельности рабочей группы с приложением всех поступивших предложений, которые после их обобщения направляются оргкомитетом в представительный орган Куйбышевского сельского поселения  Староминского района. 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11. Перед решением вопроса о принятии (включении в текст проекта отчета об исполнении индикативного плана социально-экономического развития  Куйбышевского сельского поселени</w:t>
      </w:r>
      <w:r w:rsidR="006E19DB">
        <w:rPr>
          <w:rFonts w:ascii="Times New Roman" w:hAnsi="Times New Roman"/>
          <w:sz w:val="28"/>
          <w:szCs w:val="24"/>
        </w:rPr>
        <w:t>я  Староминского района  за 20</w:t>
      </w:r>
      <w:r w:rsidR="008102F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год) или отклонении предложений представительный орган Куйбышевского сельского поселения  Староминского района  заслушивает доклад председательствующего на сессии представительного органа Куйбышевского сельского поселения  Староминского района  либо уполномоченного члена рабочей группы о деятельности рабочей группы.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12. Итоги рассмотрения поступивших предложений с обязательным содержанием принятых (включенных в отчет об исполнении индикативного </w:t>
      </w:r>
      <w:r>
        <w:rPr>
          <w:rFonts w:ascii="Times New Roman" w:hAnsi="Times New Roman"/>
          <w:sz w:val="28"/>
          <w:szCs w:val="24"/>
        </w:rPr>
        <w:lastRenderedPageBreak/>
        <w:t>плана социально-экономического развития Куйбышевского сельского поселен</w:t>
      </w:r>
      <w:r w:rsidR="006E19DB">
        <w:rPr>
          <w:rFonts w:ascii="Times New Roman" w:hAnsi="Times New Roman"/>
          <w:sz w:val="28"/>
          <w:szCs w:val="24"/>
        </w:rPr>
        <w:t>ия  Староминского района за 20</w:t>
      </w:r>
      <w:r w:rsidR="008102F4">
        <w:rPr>
          <w:rFonts w:ascii="Times New Roman" w:hAnsi="Times New Roman"/>
          <w:sz w:val="28"/>
          <w:szCs w:val="24"/>
        </w:rPr>
        <w:t xml:space="preserve">20 </w:t>
      </w:r>
      <w:r>
        <w:rPr>
          <w:rFonts w:ascii="Times New Roman" w:hAnsi="Times New Roman"/>
          <w:sz w:val="28"/>
          <w:szCs w:val="24"/>
        </w:rPr>
        <w:t>год) предложений подлежат официальному обнародованию.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4"/>
        </w:rPr>
      </w:pPr>
    </w:p>
    <w:p w:rsidR="0053771E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3771E" w:rsidRPr="00A919E1" w:rsidRDefault="0053771E" w:rsidP="00537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A91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8"/>
        </w:rPr>
      </w:pPr>
      <w:r w:rsidRPr="00A919E1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</w:t>
      </w:r>
      <w:r w:rsidR="00C81CFB">
        <w:rPr>
          <w:rFonts w:ascii="Times New Roman" w:hAnsi="Times New Roman"/>
          <w:sz w:val="28"/>
          <w:szCs w:val="28"/>
        </w:rPr>
        <w:t xml:space="preserve">                    </w:t>
      </w:r>
      <w:r w:rsidRPr="00A919E1">
        <w:rPr>
          <w:rFonts w:ascii="Times New Roman" w:hAnsi="Times New Roman"/>
          <w:sz w:val="28"/>
          <w:szCs w:val="28"/>
        </w:rPr>
        <w:t xml:space="preserve"> </w:t>
      </w:r>
      <w:r w:rsidR="008102F4">
        <w:rPr>
          <w:rFonts w:ascii="Times New Roman" w:hAnsi="Times New Roman"/>
          <w:sz w:val="28"/>
          <w:szCs w:val="28"/>
        </w:rPr>
        <w:t>Н.А.Ткаченко</w:t>
      </w:r>
    </w:p>
    <w:p w:rsidR="0053771E" w:rsidRDefault="0053771E" w:rsidP="0053771E">
      <w:pPr>
        <w:pStyle w:val="a7"/>
        <w:spacing w:line="130" w:lineRule="atLeast"/>
        <w:jc w:val="both"/>
        <w:rPr>
          <w:rFonts w:ascii="Times New Roman" w:hAnsi="Times New Roman"/>
          <w:sz w:val="28"/>
          <w:szCs w:val="28"/>
        </w:rPr>
      </w:pPr>
    </w:p>
    <w:p w:rsidR="00B813DB" w:rsidRPr="0053771E" w:rsidRDefault="00B813DB" w:rsidP="0053771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813DB" w:rsidRPr="0053771E" w:rsidSect="00C1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937A9"/>
    <w:rsid w:val="00010895"/>
    <w:rsid w:val="000577AA"/>
    <w:rsid w:val="000A5546"/>
    <w:rsid w:val="00162B5C"/>
    <w:rsid w:val="001B0B1D"/>
    <w:rsid w:val="002A6F7F"/>
    <w:rsid w:val="002B37B4"/>
    <w:rsid w:val="002C755A"/>
    <w:rsid w:val="0031129F"/>
    <w:rsid w:val="003228CF"/>
    <w:rsid w:val="003857D6"/>
    <w:rsid w:val="0039749B"/>
    <w:rsid w:val="003E5DBF"/>
    <w:rsid w:val="0053771E"/>
    <w:rsid w:val="005A21CD"/>
    <w:rsid w:val="005C00CA"/>
    <w:rsid w:val="00604241"/>
    <w:rsid w:val="00607E15"/>
    <w:rsid w:val="006161FB"/>
    <w:rsid w:val="00663239"/>
    <w:rsid w:val="006E19DB"/>
    <w:rsid w:val="00712FF8"/>
    <w:rsid w:val="007172D8"/>
    <w:rsid w:val="00727D4F"/>
    <w:rsid w:val="007B3F42"/>
    <w:rsid w:val="007E0CEE"/>
    <w:rsid w:val="00804CC0"/>
    <w:rsid w:val="008102F4"/>
    <w:rsid w:val="00875036"/>
    <w:rsid w:val="00895394"/>
    <w:rsid w:val="009075E9"/>
    <w:rsid w:val="00A11222"/>
    <w:rsid w:val="00B015D1"/>
    <w:rsid w:val="00B21167"/>
    <w:rsid w:val="00B34CA4"/>
    <w:rsid w:val="00B813DB"/>
    <w:rsid w:val="00B8556F"/>
    <w:rsid w:val="00B86B74"/>
    <w:rsid w:val="00B937A9"/>
    <w:rsid w:val="00C100DC"/>
    <w:rsid w:val="00C267A8"/>
    <w:rsid w:val="00C7280B"/>
    <w:rsid w:val="00C81CFB"/>
    <w:rsid w:val="00CB51BC"/>
    <w:rsid w:val="00D03977"/>
    <w:rsid w:val="00D0442D"/>
    <w:rsid w:val="00DA5DF7"/>
    <w:rsid w:val="00F5165E"/>
    <w:rsid w:val="00F5603B"/>
    <w:rsid w:val="00F6672E"/>
    <w:rsid w:val="00F66E05"/>
    <w:rsid w:val="00F66F68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937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A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66E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66E05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66E05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semiHidden/>
    <w:rsid w:val="00F66E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F66E05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semiHidden/>
    <w:rsid w:val="00F66E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с отступом 2 Знак"/>
    <w:basedOn w:val="a0"/>
    <w:link w:val="20"/>
    <w:rsid w:val="00F66E05"/>
    <w:rPr>
      <w:rFonts w:ascii="Times New Roman" w:eastAsia="Times New Roman" w:hAnsi="Times New Roman" w:cs="Times New Roman"/>
      <w:sz w:val="26"/>
      <w:szCs w:val="24"/>
    </w:rPr>
  </w:style>
  <w:style w:type="paragraph" w:styleId="20">
    <w:name w:val="Body Text Indent 2"/>
    <w:basedOn w:val="a"/>
    <w:link w:val="2"/>
    <w:rsid w:val="00F66E05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53771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1D83D3-5456-401F-8594-1AB79705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AdminRassvet</dc:creator>
  <cp:keywords/>
  <dc:description/>
  <cp:lastModifiedBy>AdminRassvet</cp:lastModifiedBy>
  <cp:revision>22</cp:revision>
  <cp:lastPrinted>2020-07-19T12:37:00Z</cp:lastPrinted>
  <dcterms:created xsi:type="dcterms:W3CDTF">2019-04-26T12:34:00Z</dcterms:created>
  <dcterms:modified xsi:type="dcterms:W3CDTF">2021-05-24T11:23:00Z</dcterms:modified>
</cp:coreProperties>
</file>