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890" w:dyaOrig="1093">
          <v:rect xmlns:o="urn:schemas-microsoft-com:office:office" xmlns:v="urn:schemas-microsoft-com:vml" id="rectole0000000000" style="width:44.500000pt;height:54.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36"/>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ПОСТАНОВЛЕНИЕ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АДМИНИСТРАЦИИ КУЙБЫШЕВСКОГО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СТАРОМИНСКОГО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851"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30.03.2023 г.                                                                                 № 27</w:t>
      </w: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х.Восточный Сосык</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поселения на 2023 год</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31 июля 2021 года № 248-ФЗ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06 октября 2003 года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25 июня 2021 года № 990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руководствуясь статьей 32 Устава Куйбышевского сельского поселения Староминского района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о с т а н о в л я 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поселения на 2023 год (прилагается).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Отменить постановление администрации Куйбышевского сельского поселения Староминского района Краснодарского края от 28 января 2022 года № 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2023 год</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Разместить настоящее постановление на сайте администрации Куйбышевского  сельского поселения Староминского района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Контроль за выполнением настоящего постановления оставляю за собой.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подписания.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сельского поселения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w:t>
      </w: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постановлению администрации </w:t>
      </w: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Куйбышевского сельского поселения </w:t>
      </w: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w:t>
      </w:r>
    </w:p>
    <w:p>
      <w:pPr>
        <w:tabs>
          <w:tab w:val="left" w:pos="1078"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20.12.2022г. №118</w:t>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поселения на 2023 год </w:t>
      </w: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поселения на 2023 год</w:t>
      </w: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программы</w:t>
      </w: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Ожидаемые результаты реализации</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закон от 31 июля 2020 года 248-ФЗ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государственном контроле (надзоре) и муниципальном контроле в Российской Федерации, Постановление Правительства РФ от 25 июня 2021 года № 990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Правовые основания разработки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w:t>
      </w:r>
    </w:p>
    <w:p>
      <w:pPr>
        <w:tabs>
          <w:tab w:val="left" w:pos="131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Разработчик программы</w:t>
        <w:tab/>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программы </w:t>
        <w:tab/>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Предотвращение рисков причинения вреда охраняемым законом ценностям. Информирование, консультирование контролируемых лиц с использованием информационно-телекоммуникационных технологий. Обеспечение доступности информации об обязательных требованиях и необходимых мерах по их исполнению</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программы </w:t>
        <w:tab/>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 w:val="center" w:pos="484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 программы</w:t>
        <w:tab/>
        <w:t xml:space="preserve">          2023 год</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Анализ текущего состояния осуществления муниципального контроля на автомобильном, городском наземном электрическом транспорте и дорожном хозяйстве в границах населенных пунктов Куйбышевского сельского поселения</w:t>
      </w: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протяженность автомобильных дорог местного значения в границах населенных пунктов Куйбышевского сельского поселения составляет 24,27 км, в том числе: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асфальтобетонным и цементным – 15,8 км;</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гравийным покрытием – 2,7 км;</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грунтовые – 6,8 км; </w:t>
      </w:r>
    </w:p>
    <w:p>
      <w:pPr>
        <w:tabs>
          <w:tab w:val="left" w:pos="1078"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Куйбышевского сельского поселения сделаны выводы, что наиболее частыми нарушениями являются:</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нарушение правил перевозки тяжеловесных и (или) крупногабаритных грузов по автомобильным дорогам, а также правил перевозки опасных грузов.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Ключевыми и наиболее значимыми рисками при реализации программы профилактики при осуществлении  муниципального контроля на автомобильном, городском наземном электрическом транспорте и дорожном хозяйстве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и задачи реализации программы профилактики:</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Профилактика рисков причинения вреда (ущерба) охраняемым законом ценностям направлена на достижение следующих основных целей: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стимулирование добросовестного соблюдения обязательных требований всеми контролирующими лицами;</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Задачами Программы являются:</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предотвращение рисков причинения вреда охраняемым законом ценностям;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информирование, консультирование контролируемых лиц с использованием информационно-телекоммуникационных технологий;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обеспечение доступности информации об обязательных требованиях и необходимых мерах по их исполнению. </w:t>
      </w:r>
    </w:p>
    <w:p>
      <w:pPr>
        <w:tabs>
          <w:tab w:val="left" w:pos="1078"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профилактических мероприятий, сроки (периодичность) их проведения</w:t>
      </w:r>
    </w:p>
    <w:p>
      <w:pPr>
        <w:tabs>
          <w:tab w:val="left" w:pos="1078"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6336"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Таблица</w:t>
      </w:r>
    </w:p>
    <w:tbl>
      <w:tblPr>
        <w:tblInd w:w="288" w:type="dxa"/>
      </w:tblPr>
      <w:tblGrid>
        <w:gridCol w:w="1013"/>
        <w:gridCol w:w="1388"/>
        <w:gridCol w:w="3851"/>
        <w:gridCol w:w="1582"/>
        <w:gridCol w:w="2506"/>
        <w:gridCol w:w="1804"/>
        <w:gridCol w:w="2151"/>
      </w:tblGrid>
      <w:tr>
        <w:trPr>
          <w:trHeight w:val="1560" w:hRule="auto"/>
          <w:jc w:val="left"/>
        </w:trPr>
        <w:tc>
          <w:tcPr>
            <w:tcW w:w="1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п/п</w:t>
            </w:r>
          </w:p>
          <w:p>
            <w:pPr>
              <w:tabs>
                <w:tab w:val="left" w:pos="1078" w:leader="none"/>
              </w:tabs>
              <w:spacing w:before="0" w:after="0" w:line="240"/>
              <w:ind w:right="0" w:left="0" w:firstLine="0"/>
              <w:jc w:val="center"/>
              <w:rPr>
                <w:color w:val="auto"/>
                <w:spacing w:val="0"/>
                <w:position w:val="0"/>
              </w:rPr>
            </w:pPr>
          </w:p>
        </w:tc>
        <w:tc>
          <w:tcPr>
            <w:tcW w:w="682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Наименование формы мероприятия</w:t>
            </w:r>
          </w:p>
          <w:p>
            <w:pPr>
              <w:tabs>
                <w:tab w:val="left" w:pos="1078" w:leader="none"/>
              </w:tabs>
              <w:spacing w:before="0" w:after="0" w:line="240"/>
              <w:ind w:right="0" w:left="0" w:firstLine="0"/>
              <w:jc w:val="center"/>
              <w:rPr>
                <w:color w:val="auto"/>
                <w:spacing w:val="0"/>
                <w:position w:val="0"/>
              </w:rPr>
            </w:pP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(периодичность)</w:t>
            </w: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проведения</w:t>
            </w:r>
          </w:p>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мероприятия</w:t>
            </w:r>
          </w:p>
        </w:tc>
        <w:tc>
          <w:tcPr>
            <w:tcW w:w="39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Ответственный исполнитель</w:t>
            </w:r>
          </w:p>
          <w:p>
            <w:pPr>
              <w:spacing w:before="0" w:after="0" w:line="240"/>
              <w:ind w:right="0" w:left="0" w:firstLine="0"/>
              <w:jc w:val="center"/>
              <w:rPr>
                <w:color w:val="auto"/>
                <w:spacing w:val="0"/>
                <w:position w:val="0"/>
              </w:rPr>
            </w:pPr>
          </w:p>
        </w:tc>
      </w:tr>
      <w:tr>
        <w:trPr>
          <w:trHeight w:val="426" w:hRule="auto"/>
          <w:jc w:val="left"/>
        </w:trPr>
        <w:tc>
          <w:tcPr>
            <w:tcW w:w="1429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Информирование</w:t>
            </w:r>
          </w:p>
        </w:tc>
      </w:tr>
      <w:tr>
        <w:trPr>
          <w:trHeight w:val="758" w:hRule="auto"/>
          <w:jc w:val="left"/>
        </w:trPr>
        <w:tc>
          <w:tcPr>
            <w:tcW w:w="101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color w:val="auto"/>
                <w:spacing w:val="0"/>
                <w:position w:val="0"/>
              </w:rPr>
            </w:pPr>
          </w:p>
        </w:tc>
        <w:tc>
          <w:tcPr>
            <w:tcW w:w="682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Актуализация и размещение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сайте Департамента: </w:t>
            </w:r>
          </w:p>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на автомобильном, городском наземном электрическом транспорте и дорожном хозяйстве  в границах населенных пунктов Куйбышевского сельского поселения</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14 рабочих дней с момента изменения действующего законодательства</w:t>
            </w: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color w:val="auto"/>
                <w:spacing w:val="0"/>
                <w:position w:val="0"/>
              </w:rPr>
            </w:pPr>
          </w:p>
        </w:tc>
        <w:tc>
          <w:tcPr>
            <w:tcW w:w="39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Куйбышевского сельского поселения Староминского района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color w:val="auto"/>
                <w:spacing w:val="0"/>
                <w:position w:val="0"/>
              </w:rPr>
            </w:pPr>
          </w:p>
        </w:tc>
      </w:tr>
      <w:tr>
        <w:trPr>
          <w:trHeight w:val="839" w:hRule="auto"/>
          <w:jc w:val="left"/>
        </w:trPr>
        <w:tc>
          <w:tcPr>
            <w:tcW w:w="101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б) материалов, информационных писем, руководств по соблюдению обязательных требований</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Не реже 2 раз в год</w:t>
            </w:r>
          </w:p>
        </w:tc>
        <w:tc>
          <w:tcPr>
            <w:tcW w:w="39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13" w:hRule="auto"/>
          <w:jc w:val="left"/>
        </w:trPr>
        <w:tc>
          <w:tcPr>
            <w:tcW w:w="101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 перечня индикаторов риска нарушения обязательных требований</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Не позднее 10 рабочих дней после их утверждения</w:t>
            </w:r>
          </w:p>
        </w:tc>
        <w:tc>
          <w:tcPr>
            <w:tcW w:w="39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64" w:hRule="auto"/>
          <w:jc w:val="left"/>
        </w:trPr>
        <w:tc>
          <w:tcPr>
            <w:tcW w:w="101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г) программы профилактики рисков причинения вреда (ущерба) охраняемых законом ценностям</w:t>
            </w:r>
          </w:p>
        </w:tc>
        <w:tc>
          <w:tcPr>
            <w:tcW w:w="2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Не позднее 25 декабря предшествующего года</w:t>
            </w:r>
          </w:p>
        </w:tc>
        <w:tc>
          <w:tcPr>
            <w:tcW w:w="39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67" w:hRule="auto"/>
          <w:jc w:val="left"/>
        </w:trPr>
        <w:tc>
          <w:tcPr>
            <w:tcW w:w="1429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Консультирование</w:t>
            </w:r>
          </w:p>
        </w:tc>
      </w:tr>
      <w:tr>
        <w:trPr>
          <w:trHeight w:val="789" w:hRule="auto"/>
          <w:jc w:val="left"/>
        </w:trPr>
        <w:tc>
          <w:tcPr>
            <w:tcW w:w="240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2.1.</w:t>
            </w:r>
          </w:p>
        </w:tc>
        <w:tc>
          <w:tcPr>
            <w:tcW w:w="3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Консультирование контролируемых лиц и их представителей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Куйбышевского сельского поселения: </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порядок проведения контрольных мероприятий; </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порядок осуществления профилактических мероприятий; </w:t>
            </w:r>
          </w:p>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З) порядок принятия решений по итогам контрольных мероприятий; 4) порядок обжалования решений Контрольного органа</w:t>
            </w:r>
          </w:p>
        </w:tc>
        <w:tc>
          <w:tcPr>
            <w:tcW w:w="589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 запросу в форме устных и письменных разъяснений</w:t>
            </w:r>
          </w:p>
        </w:tc>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78" w:leader="non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Специалисты администрации Куйбышевского  сельского поселения Староминского района</w:t>
            </w:r>
          </w:p>
        </w:tc>
      </w:tr>
    </w:tbl>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Показатели результативности и эффективности программы профилактики рисков причинения вреда (ущерба).</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Реализация программы профилактики способствует:</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увеличению доли контролируемых лиц, добросовестно соблюдающих обязательные требования.</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повышению правосознания и правовой культуры контролируемых лиц.</w:t>
      </w: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Куйбышевского </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w:t>
      </w:r>
    </w:p>
    <w:p>
      <w:pPr>
        <w:tabs>
          <w:tab w:val="left" w:pos="1078"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Староминского района                                                         С.В. Демчук</w:t>
      </w: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1078"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