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75"/>
        <w:ind w:left="0" w:right="-1216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36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36"/>
          <w:shd w:fill="FFFFFF" w:val="clear"/>
        </w:rPr>
        <w:t>Порядок формирования, ведения, обязательного опубликования имущества для предпринимателей</w:t>
      </w:r>
    </w:p>
    <w:p>
      <w:pPr>
        <w:pStyle w:val="Normal"/>
        <w:bidi w:val="0"/>
        <w:spacing w:lineRule="exact" w:line="240" w:before="0" w:after="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</w:p>
    <w:p>
      <w:pPr>
        <w:pStyle w:val="Normal"/>
        <w:bidi w:val="0"/>
        <w:spacing w:lineRule="exact" w:line="240" w:before="0" w:after="9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В целях реализации государственной, краевой и муниципальной политики в области развития малого и среднего предпринимательства, в соответствие с частью 4 статьи 18 № 209-ФЗ от 24.07.2007 г. Федерального закона «О развитии малого и среднего предпринимательства в Российской Федерации», Федерального закона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крае».</w:t>
      </w:r>
    </w:p>
    <w:p>
      <w:pPr>
        <w:pStyle w:val="Normal"/>
        <w:bidi w:val="0"/>
        <w:spacing w:lineRule="exact" w:line="240" w:before="0" w:after="9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Решением Совета Куйбышевского сельского поселения Староминского района от 29.10.2020 года №13/2 принят перечень имущества Куйбышевского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Копир/принтер/сканер Canon i-sensys MF3010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Стол компьютерный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Стул компьетерный</w:t>
      </w:r>
    </w:p>
    <w:p>
      <w:pPr>
        <w:pStyle w:val="Normal"/>
        <w:bidi w:val="0"/>
        <w:spacing w:lineRule="exact" w:line="240" w:before="0" w:after="9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9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3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квартал 2024 года заявлений на предоставление в аренду данного имущества от малого и среднего предпринимательства не поступало</w:t>
      </w:r>
    </w:p>
    <w:p>
      <w:pPr>
        <w:pStyle w:val="Normal"/>
        <w:bidi w:val="0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153</Words>
  <Characters>1105</Characters>
  <CharactersWithSpaces>1249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2024-09-20T10:25:03Z</dcterms:modified>
  <cp:revision>1</cp:revision>
  <dc:subject/>
  <dc:title/>
</cp:coreProperties>
</file>